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pageBreakBefore w:val="0"/>
        <w:spacing w:after="200" w:before="200" w:lineRule="auto"/>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Parashat Vayera</w:t>
      </w:r>
    </w:p>
    <w:p w:rsidR="00000000" w:rsidDel="00000000" w:rsidP="00000000" w:rsidRDefault="00000000" w:rsidRPr="00000000" w14:paraId="00000003">
      <w:pPr>
        <w:pageBreakBefore w:val="0"/>
        <w:spacing w:after="200" w:before="20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From Adam to Avraham, each biblical man struggles with how he responds to God, highlighting the challenge of balancing freedom with responsibility. Rabbi Jonathan Sacks brings forth the idea that personal, moral, and collective responsibility harmonize with freedom, throughout the beginning of Sefer Bereishit, to teach us about proper leadership.</w:t>
      </w:r>
    </w:p>
    <w:p w:rsidR="00000000" w:rsidDel="00000000" w:rsidP="00000000" w:rsidRDefault="00000000" w:rsidRPr="00000000" w14:paraId="00000004">
      <w:pPr>
        <w:pageBreakBefore w:val="0"/>
        <w:spacing w:after="200" w:before="20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Torah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informs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mitzvah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godlike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והלכת</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בדרכיו</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walk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ways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Devarim</w:t>
      </w:r>
      <w:r w:rsidDel="00000000" w:rsidR="00000000" w:rsidRPr="00000000">
        <w:rPr>
          <w:rFonts w:ascii="Montserrat" w:cs="Montserrat" w:eastAsia="Montserrat" w:hAnsi="Montserrat"/>
          <w:rtl w:val="0"/>
        </w:rPr>
        <w:t xml:space="preserve"> 28:9). </w:t>
      </w:r>
      <w:r w:rsidDel="00000000" w:rsidR="00000000" w:rsidRPr="00000000">
        <w:rPr>
          <w:rFonts w:ascii="Montserrat" w:cs="Montserrat" w:eastAsia="Montserrat" w:hAnsi="Montserrat"/>
          <w:rtl w:val="0"/>
        </w:rPr>
        <w:t xml:space="preserve">When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snake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tells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Chavah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Tree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Knowledge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finds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opportunity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fulfill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mitzvah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imitate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imitatio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dei</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ק</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ח</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פ</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ן</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ג</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took</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fruit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ate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gave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also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husband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ate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Bereishit</w:t>
      </w:r>
      <w:r w:rsidDel="00000000" w:rsidR="00000000" w:rsidRPr="00000000">
        <w:rPr>
          <w:rFonts w:ascii="Montserrat" w:cs="Montserrat" w:eastAsia="Montserrat" w:hAnsi="Montserrat"/>
          <w:rtl w:val="0"/>
        </w:rPr>
        <w:t xml:space="preserve"> 3:6). </w:t>
      </w:r>
      <w:r w:rsidDel="00000000" w:rsidR="00000000" w:rsidRPr="00000000">
        <w:rPr>
          <w:rFonts w:ascii="Montserrat" w:cs="Montserrat" w:eastAsia="Montserrat" w:hAnsi="Montserrat"/>
          <w:rtl w:val="0"/>
        </w:rPr>
        <w:t xml:space="preserve">However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Chavah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still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received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punishment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despite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their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intention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resemble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sole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purpose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commanded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ץ</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ד</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ט</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נ</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ך</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נ</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But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Tree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Knowledge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evil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shall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day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thereof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shall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surely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die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Bereishit</w:t>
      </w:r>
      <w:r w:rsidDel="00000000" w:rsidR="00000000" w:rsidRPr="00000000">
        <w:rPr>
          <w:rFonts w:ascii="Montserrat" w:cs="Montserrat" w:eastAsia="Montserrat" w:hAnsi="Montserrat"/>
          <w:rtl w:val="0"/>
        </w:rPr>
        <w:t xml:space="preserve"> 2:17). </w:t>
      </w:r>
      <w:r w:rsidDel="00000000" w:rsidR="00000000" w:rsidRPr="00000000">
        <w:rPr>
          <w:rFonts w:ascii="Montserrat" w:cs="Montserrat" w:eastAsia="Montserrat" w:hAnsi="Montserrat"/>
          <w:rtl w:val="0"/>
        </w:rPr>
        <w:t xml:space="preserve">Through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punishment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Hashem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illuminating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fact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doing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עבודת</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serving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must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commanded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However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where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Adam</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mistakes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asks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ן</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ץ</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צ</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יך</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נ</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eaten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tree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which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commanded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Bereishit</w:t>
      </w:r>
      <w:r w:rsidDel="00000000" w:rsidR="00000000" w:rsidRPr="00000000">
        <w:rPr>
          <w:rFonts w:ascii="Montserrat" w:cs="Montserrat" w:eastAsia="Montserrat" w:hAnsi="Montserrat"/>
          <w:rtl w:val="0"/>
        </w:rPr>
        <w:t xml:space="preserve"> 3:11),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lacks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blames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Chavah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struggling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how</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handle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freedom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but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fails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test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personal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5">
      <w:pPr>
        <w:pageBreakBefore w:val="0"/>
        <w:spacing w:after="200" w:before="20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Similarly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Cain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attempted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please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own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bringing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korbanot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However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wasn</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accepted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whereas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Abel</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Although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doesn</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say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explicitly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Torah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Cain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killed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Abel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because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very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reason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midrash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concludes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cause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Cain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murdering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brother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questioned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Cain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asked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ב</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ח</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יך</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Where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Abel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your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brother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Bereishit</w:t>
      </w:r>
      <w:r w:rsidDel="00000000" w:rsidR="00000000" w:rsidRPr="00000000">
        <w:rPr>
          <w:rFonts w:ascii="Montserrat" w:cs="Montserrat" w:eastAsia="Montserrat" w:hAnsi="Montserrat"/>
          <w:rtl w:val="0"/>
        </w:rPr>
        <w:t xml:space="preserve"> 4:9), </w:t>
      </w:r>
      <w:r w:rsidDel="00000000" w:rsidR="00000000" w:rsidRPr="00000000">
        <w:rPr>
          <w:rFonts w:ascii="Montserrat" w:cs="Montserrat" w:eastAsia="Montserrat" w:hAnsi="Montserrat"/>
          <w:rtl w:val="0"/>
        </w:rPr>
        <w:t xml:space="preserve">Cain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deflected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moral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answering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ח</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נ</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brother</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keeper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Bereishit</w:t>
      </w:r>
      <w:r w:rsidDel="00000000" w:rsidR="00000000" w:rsidRPr="00000000">
        <w:rPr>
          <w:rFonts w:ascii="Montserrat" w:cs="Montserrat" w:eastAsia="Montserrat" w:hAnsi="Montserrat"/>
          <w:rtl w:val="0"/>
        </w:rPr>
        <w:t xml:space="preserve"> 4:9); </w:t>
      </w:r>
      <w:r w:rsidDel="00000000" w:rsidR="00000000" w:rsidRPr="00000000">
        <w:rPr>
          <w:rFonts w:ascii="Montserrat" w:cs="Montserrat" w:eastAsia="Montserrat" w:hAnsi="Montserrat"/>
          <w:rtl w:val="0"/>
        </w:rPr>
        <w:t xml:space="preserve">yet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another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example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balancing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freedom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6">
      <w:pPr>
        <w:pageBreakBefore w:val="0"/>
        <w:spacing w:after="200" w:before="20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next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across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recognized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expelled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ultimately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killed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because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doing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things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own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did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exactly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opposite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listened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precisely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commanded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נ</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ח</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צ</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ת</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ו</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קים</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ן</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did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according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commanded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did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Bereishit</w:t>
      </w:r>
      <w:r w:rsidDel="00000000" w:rsidR="00000000" w:rsidRPr="00000000">
        <w:rPr>
          <w:rFonts w:ascii="Montserrat" w:cs="Montserrat" w:eastAsia="Montserrat" w:hAnsi="Montserrat"/>
          <w:rtl w:val="0"/>
        </w:rPr>
        <w:t xml:space="preserve"> 6:22). </w:t>
      </w:r>
      <w:r w:rsidDel="00000000" w:rsidR="00000000" w:rsidRPr="00000000">
        <w:rPr>
          <w:rFonts w:ascii="Montserrat" w:cs="Montserrat" w:eastAsia="Montserrat" w:hAnsi="Montserrat"/>
          <w:rtl w:val="0"/>
        </w:rPr>
        <w:t xml:space="preserve">When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spoke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announced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kill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generation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did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question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attempt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get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reconsider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rather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obeyed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Hashem</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words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built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himself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boat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lacked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collective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looked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after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himself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analyzing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decisions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biblical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figures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up</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until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point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one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seems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grasp</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correct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balance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between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freedom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7">
      <w:pPr>
        <w:pageBreakBefore w:val="0"/>
        <w:spacing w:after="200" w:before="20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Parashat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Vayera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moment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which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man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Avraham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questions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warned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Avraham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destroy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Sedom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unprecedented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Avraham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answered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פ</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ט</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כ</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ר</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ץ</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ל</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א</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י</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ע</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ה</w:t>
      </w:r>
      <w:r w:rsidDel="00000000" w:rsidR="00000000" w:rsidRPr="00000000">
        <w:rPr>
          <w:rFonts w:ascii="Montserrat" w:cs="Montserrat" w:eastAsia="Montserrat" w:hAnsi="Montserrat"/>
          <w:rtl w:val="1"/>
        </w:rPr>
        <w:t xml:space="preserve"> </w:t>
      </w:r>
      <w:r w:rsidDel="00000000" w:rsidR="00000000" w:rsidRPr="00000000">
        <w:rPr>
          <w:rFonts w:ascii="Montserrat" w:cs="Montserrat" w:eastAsia="Montserrat" w:hAnsi="Montserrat"/>
          <w:rtl w:val="1"/>
        </w:rPr>
        <w:t xml:space="preserve">מ</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ש</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פ</w:t>
      </w:r>
      <w:r w:rsidDel="00000000" w:rsidR="00000000" w:rsidRPr="00000000">
        <w:rPr>
          <w:rFonts w:ascii="Montserrat" w:cs="Montserrat" w:eastAsia="Montserrat" w:hAnsi="Montserrat"/>
          <w:rtl w:val="1"/>
        </w:rPr>
        <w:t xml:space="preserve">ָּֽ</w:t>
      </w:r>
      <w:r w:rsidDel="00000000" w:rsidR="00000000" w:rsidRPr="00000000">
        <w:rPr>
          <w:rFonts w:ascii="Montserrat" w:cs="Montserrat" w:eastAsia="Montserrat" w:hAnsi="Montserrat"/>
          <w:rtl w:val="1"/>
        </w:rPr>
        <w:t xml:space="preserve">ט</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Will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Judge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entire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earth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perform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justice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Bereishit</w:t>
      </w:r>
      <w:r w:rsidDel="00000000" w:rsidR="00000000" w:rsidRPr="00000000">
        <w:rPr>
          <w:rFonts w:ascii="Montserrat" w:cs="Montserrat" w:eastAsia="Montserrat" w:hAnsi="Montserrat"/>
          <w:rtl w:val="0"/>
        </w:rPr>
        <w:t xml:space="preserve"> 18:25). </w:t>
      </w:r>
      <w:r w:rsidDel="00000000" w:rsidR="00000000" w:rsidRPr="00000000">
        <w:rPr>
          <w:rFonts w:ascii="Montserrat" w:cs="Montserrat" w:eastAsia="Montserrat" w:hAnsi="Montserrat"/>
          <w:rtl w:val="0"/>
        </w:rPr>
        <w:t xml:space="preserve">Contrary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followed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blindly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when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spoke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Avraham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questioned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active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leadership</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role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taking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Avaraham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didn</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take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own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path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what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Hashem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wanted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do</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like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Adam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and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Chavah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nor</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did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strictly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follow</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God</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words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like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Noah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became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perfect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combination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both</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following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Hashem</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ways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while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challenging</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Him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while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Rabbi</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Jonathan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Sacks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explains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it</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Avraham</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understood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all</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levels</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of</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responsibility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especially</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the</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third</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collective</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8">
      <w:pPr>
        <w:pageBreakBefore w:val="0"/>
        <w:spacing w:after="200" w:before="20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The reason why Avraham became the epitome of leadership in Judaism is for the very reason that he challenged, he protested, and he fought. He was not passive, but rather quite the opposite. Avraham took responsibility for the first time in the Torah. He acted despite the lack of support from others; he was confident in himself and in his options. </w:t>
      </w:r>
    </w:p>
    <w:p w:rsidR="00000000" w:rsidDel="00000000" w:rsidP="00000000" w:rsidRDefault="00000000" w:rsidRPr="00000000" w14:paraId="00000009">
      <w:pPr>
        <w:pageBreakBefore w:val="0"/>
        <w:spacing w:after="200" w:before="200" w:line="276"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This idea of responsibility, whether it be personal, moral, or collective, applies to all. To be a leader is to follow in the footsteps of Avraham Avinu. To be active in whatever role you’re taking; to be independent and rely on yourself in the process of serving God. The failures of the men in the beginning of the Bible– Adam, Cain, and Noah– teach us what not to be and how not to lead, whereas Avraham Avinu teaches us the exact opposite. It’s up to you what path you will follow; whether you want to be an Adam or an Avraham. </w:t>
      </w:r>
    </w:p>
    <w:p w:rsidR="00000000" w:rsidDel="00000000" w:rsidP="00000000" w:rsidRDefault="00000000" w:rsidRPr="00000000" w14:paraId="0000000A">
      <w:pPr>
        <w:pageBreakBefore w:val="0"/>
        <w:spacing w:after="200" w:before="20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spacing w:after="200" w:before="20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ageBreakBefore w:val="0"/>
        <w:spacing w:after="200" w:before="20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pageBreakBefore w:val="0"/>
        <w:spacing w:after="200" w:before="20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pageBreakBefore w:val="0"/>
        <w:spacing w:after="200" w:before="20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spacing w:line="240" w:lineRule="auto"/>
        <w:jc w:val="both"/>
        <w:rPr>
          <w:rFonts w:ascii="Advent Pro" w:cs="Advent Pro" w:eastAsia="Advent Pro" w:hAnsi="Advent Pro"/>
          <w:sz w:val="36"/>
          <w:szCs w:val="36"/>
        </w:rPr>
      </w:pPr>
      <w:r w:rsidDel="00000000" w:rsidR="00000000" w:rsidRPr="00000000">
        <w:rPr>
          <w:rFonts w:ascii="Montserrat" w:cs="Montserrat" w:eastAsia="Montserrat" w:hAnsi="Montserrat"/>
          <w:color w:val="878888"/>
          <w:sz w:val="19"/>
          <w:szCs w:val="19"/>
          <w:highlight w:val="white"/>
          <w:rtl w:val="0"/>
        </w:rPr>
        <w:t xml:space="preserve">Rochelle Hafif has attended Yeshivah of Flatbush ever since Atideinu all throughout her years of high school where she became involved in a variety of chesed programs, including Yachad. Last year Rochelle spent her winter vacation on Chesed Mission where her love for chesed grew into an abundance of desire and love to help others. Rochelle is looking forward to expanding her horizons and spending the next year growing and learning in Midreshet Moriah all while doing chesed for herself, and for others.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dvent Pr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dvent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spacing w:line="276" w:lineRule="auto"/>
      <w:jc w:val="center"/>
      <w:rPr/>
    </w:pPr>
    <w:r w:rsidDel="00000000" w:rsidR="00000000" w:rsidRPr="00000000">
      <w:rPr>
        <w:rFonts w:ascii="Montserrat" w:cs="Montserrat" w:eastAsia="Montserrat" w:hAnsi="Montserrat"/>
        <w:color w:val="32667d"/>
        <w:sz w:val="20"/>
        <w:szCs w:val="20"/>
        <w:rtl w:val="0"/>
      </w:rPr>
      <w:t xml:space="preserve">Website: allegrafranco.org</w:t>
      <w:tab/>
      <w:tab/>
      <w:tab/>
      <w:tab/>
      <w:t xml:space="preserve">           Instagram: allegrafranco_betmidrash</w:t>
    </w:r>
    <w:r w:rsidDel="00000000" w:rsidR="00000000" w:rsidRPr="00000000">
      <w:rPr>
        <w:rFonts w:ascii="Montserrat" w:cs="Montserrat" w:eastAsia="Montserrat" w:hAnsi="Montserrat"/>
        <w:color w:val="32667d"/>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spacing w:line="276" w:lineRule="auto"/>
      <w:jc w:val="center"/>
      <w:rPr/>
    </w:pPr>
    <w:r w:rsidDel="00000000" w:rsidR="00000000" w:rsidRPr="00000000">
      <w:rPr>
        <w:rFonts w:ascii="Montserrat" w:cs="Montserrat" w:eastAsia="Montserrat" w:hAnsi="Montserrat"/>
        <w:color w:val="32667d"/>
        <w:sz w:val="20"/>
        <w:szCs w:val="20"/>
        <w:rtl w:val="0"/>
      </w:rPr>
      <w:t xml:space="preserve">Website: allegrafranco.org</w:t>
      <w:tab/>
      <w:tab/>
      <w:tab/>
      <w:tab/>
      <w:t xml:space="preserve">           Instagram: allegrafranco_betmidrash</w:t>
    </w:r>
    <w:r w:rsidDel="00000000" w:rsidR="00000000" w:rsidRPr="00000000">
      <w:rPr>
        <w:rFonts w:ascii="Montserrat" w:cs="Montserrat" w:eastAsia="Montserrat" w:hAnsi="Montserrat"/>
        <w:color w:val="32667d"/>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spacing w:before="200" w:lineRule="auto"/>
      <w:ind w:left="-720" w:firstLine="0"/>
      <w:rPr>
        <w:rFonts w:ascii="Advent Pro Medium" w:cs="Advent Pro Medium" w:eastAsia="Advent Pro Medium" w:hAnsi="Advent Pro Medium"/>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rPr>
        <w:rFonts w:ascii="Advent Pro Medium" w:cs="Advent Pro Medium" w:eastAsia="Advent Pro Medium" w:hAnsi="Advent Pro Medium"/>
        <w:color w:val="ffffff"/>
        <w:sz w:val="28"/>
        <w:szCs w:val="28"/>
      </w:rPr>
    </w:pPr>
    <w:r w:rsidDel="00000000" w:rsidR="00000000" w:rsidRPr="00000000">
      <w:rPr>
        <w:rtl w:val="0"/>
      </w:rPr>
    </w:r>
  </w:p>
  <w:p w:rsidR="00000000" w:rsidDel="00000000" w:rsidP="00000000" w:rsidRDefault="00000000" w:rsidRPr="00000000" w14:paraId="00000012">
    <w:pPr>
      <w:pageBreakBefore w:val="0"/>
      <w:rPr>
        <w:rFonts w:ascii="Advent Pro Medium" w:cs="Advent Pro Medium" w:eastAsia="Advent Pro Medium" w:hAnsi="Advent Pro Medium"/>
        <w:color w:val="ffffff"/>
        <w:sz w:val="28"/>
        <w:szCs w:val="28"/>
      </w:rPr>
    </w:pPr>
    <w:r w:rsidDel="00000000" w:rsidR="00000000" w:rsidRPr="00000000">
      <w:rPr>
        <w:rtl w:val="0"/>
      </w:rPr>
    </w:r>
  </w:p>
  <w:p w:rsidR="00000000" w:rsidDel="00000000" w:rsidP="00000000" w:rsidRDefault="00000000" w:rsidRPr="00000000" w14:paraId="00000013">
    <w:pPr>
      <w:pageBreakBefore w:val="0"/>
      <w:spacing w:before="200" w:lineRule="auto"/>
      <w:ind w:left="-720" w:firstLine="0"/>
      <w:rPr/>
    </w:pPr>
    <w:r w:rsidDel="00000000" w:rsidR="00000000" w:rsidRPr="00000000">
      <w:rPr>
        <w:rFonts w:ascii="Advent Pro Medium" w:cs="Advent Pro Medium" w:eastAsia="Advent Pro Medium" w:hAnsi="Advent Pro Medium"/>
        <w:color w:val="ffffff"/>
        <w:sz w:val="28"/>
        <w:szCs w:val="28"/>
        <w:rtl w:val="0"/>
      </w:rPr>
      <w:t xml:space="preserve">Debar Torah from Israel Scholarship Recipient </w:t>
    </w:r>
    <w:r w:rsidDel="00000000" w:rsidR="00000000" w:rsidRPr="00000000">
      <w:rPr>
        <w:rFonts w:ascii="Advent Pro Medium" w:cs="Advent Pro Medium" w:eastAsia="Advent Pro Medium" w:hAnsi="Advent Pro Medium"/>
        <w:color w:val="ffffff"/>
        <w:sz w:val="38"/>
        <w:szCs w:val="38"/>
        <w:rtl w:val="0"/>
      </w:rPr>
      <w:t xml:space="preserve">Rochelle Hafif</w:t>
    </w:r>
    <w:r w:rsidDel="00000000" w:rsidR="00000000" w:rsidRPr="00000000">
      <w:rPr>
        <w:rFonts w:ascii="Advent Pro Medium" w:cs="Advent Pro Medium" w:eastAsia="Advent Pro Medium" w:hAnsi="Advent Pro Medium"/>
      </w:rPr>
      <w:drawing>
        <wp:anchor allowOverlap="1" behindDoc="1" distB="0" distT="0" distL="0" distR="0" hidden="0" layoutInCell="1" locked="0" relativeHeight="0" simplePos="0">
          <wp:simplePos x="0" y="0"/>
          <wp:positionH relativeFrom="page">
            <wp:posOffset>-28574</wp:posOffset>
          </wp:positionH>
          <wp:positionV relativeFrom="page">
            <wp:posOffset>-142874</wp:posOffset>
          </wp:positionV>
          <wp:extent cx="7993817" cy="186213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93817" cy="186213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AdventPro-italic.ttf"/><Relationship Id="rId10" Type="http://schemas.openxmlformats.org/officeDocument/2006/relationships/font" Target="fonts/AdventPro-bold.ttf"/><Relationship Id="rId12" Type="http://schemas.openxmlformats.org/officeDocument/2006/relationships/font" Target="fonts/AdventPro-boldItalic.ttf"/><Relationship Id="rId9" Type="http://schemas.openxmlformats.org/officeDocument/2006/relationships/font" Target="fonts/AdventPro-regular.ttf"/><Relationship Id="rId5" Type="http://schemas.openxmlformats.org/officeDocument/2006/relationships/font" Target="fonts/AdventProMedium-regular.ttf"/><Relationship Id="rId6" Type="http://schemas.openxmlformats.org/officeDocument/2006/relationships/font" Target="fonts/AdventProMedium-bold.ttf"/><Relationship Id="rId7" Type="http://schemas.openxmlformats.org/officeDocument/2006/relationships/font" Target="fonts/AdventProMedium-italic.ttf"/><Relationship Id="rId8" Type="http://schemas.openxmlformats.org/officeDocument/2006/relationships/font" Target="fonts/AdventPro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